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76E" w:rsidRDefault="00BB176E">
      <w:pPr>
        <w:pStyle w:val="a3"/>
        <w:rPr>
          <w:sz w:val="24"/>
        </w:rPr>
      </w:pPr>
      <w:r>
        <w:rPr>
          <w:sz w:val="24"/>
        </w:rPr>
        <w:t>ПРОТОКОЛ</w:t>
      </w:r>
    </w:p>
    <w:p w:rsidR="00BB176E" w:rsidRDefault="00BB176E">
      <w:pPr>
        <w:pStyle w:val="a4"/>
        <w:rPr>
          <w:bCs/>
          <w:sz w:val="24"/>
        </w:rPr>
      </w:pPr>
      <w:r>
        <w:rPr>
          <w:bCs/>
          <w:sz w:val="24"/>
        </w:rPr>
        <w:t>заседания  Комиссии по аккредитации</w:t>
      </w:r>
    </w:p>
    <w:p w:rsidR="00BB176E" w:rsidRDefault="00BB176E">
      <w:pPr>
        <w:jc w:val="center"/>
      </w:pPr>
      <w:r>
        <w:t xml:space="preserve">Единой системы оценки соответствия в области промышленной, экологической безопасности, </w:t>
      </w:r>
    </w:p>
    <w:p w:rsidR="00BB176E" w:rsidRDefault="00BB176E">
      <w:pPr>
        <w:jc w:val="center"/>
        <w:rPr>
          <w:bCs/>
        </w:rPr>
      </w:pPr>
      <w:r>
        <w:t>безопасности в энергетике и строительстве.</w:t>
      </w:r>
    </w:p>
    <w:p w:rsidR="00BB176E" w:rsidRDefault="00BB176E">
      <w:pPr>
        <w:jc w:val="center"/>
        <w:rPr>
          <w:bCs/>
        </w:rPr>
      </w:pPr>
    </w:p>
    <w:p w:rsidR="00BB176E" w:rsidRDefault="00E92489">
      <w:pPr>
        <w:rPr>
          <w:bCs/>
        </w:rPr>
      </w:pPr>
      <w:r>
        <w:t>18.10.2024</w:t>
      </w:r>
      <w:r w:rsidR="00BB176E">
        <w:rPr>
          <w:bCs/>
        </w:rPr>
        <w:t xml:space="preserve"> </w:t>
      </w:r>
    </w:p>
    <w:p w:rsidR="00BB176E" w:rsidRDefault="00BB176E">
      <w:pPr>
        <w:jc w:val="right"/>
      </w:pPr>
      <w:r>
        <w:t>№ СДА-КА–</w:t>
      </w:r>
      <w:r w:rsidR="00E92489">
        <w:t>274-НОАП-154</w:t>
      </w:r>
    </w:p>
    <w:p w:rsidR="00BB176E" w:rsidRDefault="00BB176E">
      <w:pPr>
        <w:pStyle w:val="20"/>
      </w:pPr>
    </w:p>
    <w:p w:rsidR="00BB176E" w:rsidRDefault="00BB176E">
      <w:pPr>
        <w:pStyle w:val="20"/>
      </w:pPr>
    </w:p>
    <w:p w:rsidR="00BB176E" w:rsidRPr="00EF3A92" w:rsidRDefault="005075F2">
      <w:pPr>
        <w:pStyle w:val="20"/>
        <w:rPr>
          <w:b w:val="0"/>
          <w:bCs/>
        </w:rPr>
      </w:pPr>
      <w:r>
        <w:rPr>
          <w:b w:val="0"/>
        </w:rPr>
        <w:t xml:space="preserve">Повестка дня: </w:t>
      </w:r>
      <w:r w:rsidR="00BB176E" w:rsidRPr="00EF3A92">
        <w:rPr>
          <w:b w:val="0"/>
        </w:rPr>
        <w:t xml:space="preserve"> рассмотрение документов на аккредитацию в качестве Независимых органов по аттестации (сертификации) персонала </w:t>
      </w:r>
      <w:r>
        <w:rPr>
          <w:b w:val="0"/>
        </w:rPr>
        <w:t>(НОАП)</w:t>
      </w:r>
      <w:r w:rsidR="00BB176E" w:rsidRPr="00EF3A92">
        <w:rPr>
          <w:b w:val="0"/>
          <w:bCs/>
        </w:rPr>
        <w:t>.</w:t>
      </w:r>
    </w:p>
    <w:p w:rsidR="00BB176E" w:rsidRDefault="00BB176E">
      <w:pPr>
        <w:tabs>
          <w:tab w:val="left" w:pos="12049"/>
        </w:tabs>
        <w:rPr>
          <w:rFonts w:ascii="Arial" w:hAnsi="Arial" w:cs="Arial"/>
          <w:lang w:val="en-US"/>
        </w:rPr>
      </w:pPr>
    </w:p>
    <w:p w:rsidR="00EF3673" w:rsidRDefault="00EF3673">
      <w:pPr>
        <w:tabs>
          <w:tab w:val="left" w:pos="12049"/>
        </w:tabs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 </w:t>
      </w:r>
    </w:p>
    <w:tbl>
      <w:tblPr>
        <w:tblW w:w="153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0"/>
        <w:gridCol w:w="2058"/>
        <w:gridCol w:w="4326"/>
        <w:gridCol w:w="2977"/>
        <w:gridCol w:w="1701"/>
        <w:gridCol w:w="1796"/>
      </w:tblGrid>
      <w:tr w:rsidR="00BB176E" w:rsidTr="00E92489">
        <w:tblPrEx>
          <w:tblCellMar>
            <w:top w:w="0" w:type="dxa"/>
            <w:bottom w:w="0" w:type="dxa"/>
          </w:tblCellMar>
        </w:tblPrEx>
        <w:trPr>
          <w:tblHeader/>
          <w:jc w:val="center"/>
        </w:trPr>
        <w:tc>
          <w:tcPr>
            <w:tcW w:w="4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bookmarkStart w:id="0" w:name="_GoBack"/>
            <w:bookmarkEnd w:id="0"/>
            <w:r>
              <w:t>Организация</w:t>
            </w:r>
            <w:r>
              <w:rPr>
                <w:rStyle w:val="a7"/>
              </w:rPr>
              <w:footnoteReference w:customMarkFollows="1" w:id="1"/>
              <w:t>1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Объекты испытаний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176E" w:rsidRDefault="00BB176E">
            <w:pPr>
              <w:jc w:val="center"/>
              <w:rPr>
                <w:szCs w:val="20"/>
              </w:rPr>
            </w:pPr>
            <w:r>
              <w:t>Виды</w:t>
            </w:r>
            <w:r w:rsidR="005075F2">
              <w:t xml:space="preserve"> </w:t>
            </w:r>
            <w:r>
              <w:t xml:space="preserve">(методы) </w:t>
            </w:r>
            <w:r w:rsidR="005075F2">
              <w:t>контроля (</w:t>
            </w:r>
            <w:r>
              <w:t>испытаний</w:t>
            </w:r>
            <w:r w:rsidR="005075F2"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B176E" w:rsidRDefault="00BB176E" w:rsidP="005075F2">
            <w:pPr>
              <w:jc w:val="center"/>
            </w:pPr>
            <w:r>
              <w:t>Уровни квалификации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B176E" w:rsidRPr="00CC6DBA" w:rsidRDefault="00CC6DBA" w:rsidP="005075F2">
            <w:pPr>
              <w:jc w:val="center"/>
            </w:pPr>
            <w:r>
              <w:rPr>
                <w:lang w:val="en-US"/>
              </w:rPr>
              <w:t>Решение комиссии</w:t>
            </w:r>
          </w:p>
        </w:tc>
      </w:tr>
      <w:tr w:rsidR="00BB176E" w:rsidTr="00E92489">
        <w:tblPrEx>
          <w:tblCellMar>
            <w:top w:w="0" w:type="dxa"/>
            <w:bottom w:w="0" w:type="dxa"/>
          </w:tblCellMar>
        </w:tblPrEx>
        <w:trPr>
          <w:trHeight w:val="1120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EC1" w:rsidRPr="00EF3673" w:rsidRDefault="00E92489">
            <w:r>
              <w:rPr>
                <w:lang w:val="en-US"/>
              </w:rPr>
              <w:t>1</w:t>
            </w:r>
            <w:r w:rsidR="00BB176E" w:rsidRPr="0002045E">
              <w:rPr>
                <w:lang w:val="en-US"/>
              </w:rPr>
              <w:t xml:space="preserve">. </w:t>
            </w:r>
            <w:r>
              <w:t>Общество с ограниченной ответственностью "ДИАМЕХ 2000"</w:t>
            </w:r>
          </w:p>
          <w:p w:rsidR="00027EC1" w:rsidRPr="00EF3673" w:rsidRDefault="00027EC1"/>
          <w:p w:rsidR="00BB176E" w:rsidRPr="00EF3673" w:rsidRDefault="00E92489">
            <w:r>
              <w:t>ООО "ДИАМЕХ 2000"</w:t>
            </w:r>
            <w:r w:rsidR="00BB176E" w:rsidRPr="00EF3673">
              <w:t xml:space="preserve"> (</w:t>
            </w:r>
            <w:r>
              <w:t>ПВТ</w:t>
            </w:r>
            <w:r w:rsidR="00BB176E" w:rsidRPr="00EF3673">
              <w:t>)</w:t>
            </w:r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Default="00E92489">
            <w:r>
              <w:t>109052</w:t>
            </w:r>
            <w:r w:rsidR="00BB176E">
              <w:t xml:space="preserve">. </w:t>
            </w:r>
            <w:r>
              <w:t>Российская Федерация, г. Москва, Вн. тер. г. Муниципальный округ Нижегородский, ул. Смирновская, д. 25, стр.12, этаж 2, пом. 01.</w:t>
            </w:r>
          </w:p>
        </w:tc>
        <w:tc>
          <w:tcPr>
            <w:tcW w:w="4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EF3673" w:rsidRDefault="00E92489">
            <w:pPr>
              <w:rPr>
                <w:szCs w:val="20"/>
              </w:rPr>
            </w:pPr>
            <w:r>
              <w:rPr>
                <w:szCs w:val="20"/>
              </w:rPr>
              <w:t>1.</w:t>
            </w:r>
            <w:r w:rsidR="00BB176E"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Оборудование, работающее под избыточным давлением: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1.1.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1.2.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Водогрейные и пароводогрейные котлы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Системы газоснабжения (газораспределения):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2.3.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Детали и узлы, газовое оборудование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3.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Подъемные сооружения: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3.1.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Грузоподъемные краны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3.5.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Эскалаторы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3.6.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Лифты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горнорудной промышленности: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lastRenderedPageBreak/>
              <w:t>4.2.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Шахтные подъемные машины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5.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Объекты угольной промышленности: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5.2.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Вентиляторы главного проветривания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6.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нефтяной и газовой промышленности: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6.1.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для бурения скважин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6.4.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газонефтеперекачивающих станций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7.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металлургической промышленности: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7.2.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Газопроводы технологических газов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8.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взрывопожароопасных и химически опасных производств: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8.9.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Компрессорное и насосное оборудование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8.10.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Центрифуги, сепараторы</w:t>
            </w:r>
          </w:p>
          <w:p w:rsidR="00E92489" w:rsidRPr="00EF3673" w:rsidRDefault="00E92489" w:rsidP="00E92489">
            <w:pPr>
              <w:rPr>
                <w:szCs w:val="20"/>
              </w:rPr>
            </w:pPr>
            <w:r>
              <w:rPr>
                <w:szCs w:val="20"/>
              </w:rPr>
              <w:t>12.</w:t>
            </w:r>
            <w:r w:rsidRPr="0063689C">
              <w:rPr>
                <w:szCs w:val="20"/>
              </w:rPr>
              <w:t xml:space="preserve"> </w:t>
            </w:r>
            <w:r>
              <w:rPr>
                <w:szCs w:val="20"/>
              </w:rPr>
              <w:t>Оборудование электроэнергетики</w:t>
            </w:r>
          </w:p>
          <w:p w:rsidR="00BB176E" w:rsidRPr="00EF3673" w:rsidRDefault="00BB176E" w:rsidP="00E92489">
            <w:pPr>
              <w:rPr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E92489">
            <w:pPr>
              <w:rPr>
                <w:szCs w:val="20"/>
                <w:lang w:val="en-US"/>
              </w:rPr>
            </w:pPr>
            <w:r>
              <w:rPr>
                <w:szCs w:val="20"/>
                <w:lang w:val="en-US"/>
              </w:rPr>
              <w:lastRenderedPageBreak/>
              <w:t>7.</w:t>
            </w:r>
            <w:r w:rsidR="00BB176E" w:rsidRPr="0063689C">
              <w:rPr>
                <w:szCs w:val="20"/>
                <w:lang w:val="en-US"/>
              </w:rPr>
              <w:t xml:space="preserve"> </w:t>
            </w:r>
            <w:r>
              <w:rPr>
                <w:szCs w:val="20"/>
                <w:lang w:val="en-US"/>
              </w:rPr>
              <w:t>Вибродиагностический (ВД)</w:t>
            </w:r>
          </w:p>
          <w:p w:rsidR="00BB176E" w:rsidRDefault="00BB176E" w:rsidP="00E92489">
            <w:pPr>
              <w:rPr>
                <w:lang w:val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63689C" w:rsidRDefault="00E92489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(I)</w:t>
            </w:r>
            <w:r w:rsidR="00BB176E"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первый</w:t>
            </w:r>
            <w:r w:rsidR="00BB176E" w:rsidRPr="0063689C">
              <w:rPr>
                <w:rFonts w:eastAsia="Arial Unicode MS"/>
              </w:rPr>
              <w:t>,</w:t>
            </w:r>
          </w:p>
          <w:p w:rsidR="00BB176E" w:rsidRPr="0063689C" w:rsidRDefault="00E92489" w:rsidP="00E92489">
            <w:pPr>
              <w:rPr>
                <w:rFonts w:eastAsia="Arial Unicode MS"/>
              </w:rPr>
            </w:pPr>
            <w:r>
              <w:rPr>
                <w:rFonts w:eastAsia="Arial Unicode MS"/>
                <w:lang w:val="en-US"/>
              </w:rPr>
              <w:t>(II)</w:t>
            </w:r>
            <w:r w:rsidRPr="0063689C">
              <w:rPr>
                <w:rFonts w:eastAsia="Arial Unicode MS"/>
                <w:lang w:val="en-US"/>
              </w:rPr>
              <w:t xml:space="preserve"> </w:t>
            </w:r>
            <w:r>
              <w:rPr>
                <w:rFonts w:eastAsia="Arial Unicode MS"/>
                <w:lang w:val="en-US"/>
              </w:rPr>
              <w:t>второй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6E" w:rsidRPr="0002045E" w:rsidRDefault="00E92489" w:rsidP="007720E2">
            <w:pPr>
              <w:rPr>
                <w:rFonts w:eastAsia="Arial Unicode MS"/>
                <w:lang w:val="en-US"/>
              </w:rPr>
            </w:pPr>
            <w:r>
              <w:rPr>
                <w:rFonts w:eastAsia="Arial Unicode MS"/>
              </w:rPr>
              <w:t>Аккредитовать</w:t>
            </w:r>
          </w:p>
        </w:tc>
      </w:tr>
    </w:tbl>
    <w:p w:rsidR="00253A66" w:rsidRPr="00253A66" w:rsidRDefault="00253A66">
      <w:pPr>
        <w:rPr>
          <w:lang w:val="en-US"/>
        </w:rPr>
      </w:pPr>
    </w:p>
    <w:p w:rsidR="00BB176E" w:rsidRPr="005075F2" w:rsidRDefault="00BB176E">
      <w:pPr>
        <w:ind w:left="4320"/>
        <w:rPr>
          <w:lang w:val="en-US"/>
        </w:rPr>
      </w:pPr>
      <w:r>
        <w:t>Председатель</w:t>
      </w:r>
      <w:r w:rsidR="006C1A81" w:rsidRPr="005075F2">
        <w:rPr>
          <w:lang w:val="en-US"/>
        </w:rPr>
        <w:t xml:space="preserve"> </w:t>
      </w:r>
      <w:r w:rsidR="006C1A81">
        <w:t>комиссии</w:t>
      </w:r>
      <w:r w:rsidR="006C1A81">
        <w:rPr>
          <w:lang w:val="en-US"/>
        </w:rPr>
        <w:t>:</w:t>
      </w:r>
      <w:r w:rsidRPr="005075F2">
        <w:rPr>
          <w:lang w:val="en-US"/>
        </w:rPr>
        <w:tab/>
      </w:r>
      <w:r w:rsidR="00E92489">
        <w:rPr>
          <w:lang w:val="en-US"/>
        </w:rPr>
        <w:t>Н.Н. Коновалов</w:t>
      </w:r>
    </w:p>
    <w:p w:rsidR="00BB176E" w:rsidRPr="005075F2" w:rsidRDefault="00BB176E">
      <w:pPr>
        <w:rPr>
          <w:lang w:val="en-US"/>
        </w:rPr>
      </w:pPr>
    </w:p>
    <w:p w:rsidR="00BB176E" w:rsidRDefault="00BB176E">
      <w:pPr>
        <w:ind w:left="4320"/>
      </w:pPr>
      <w:r>
        <w:t>Секретарь</w:t>
      </w:r>
      <w:r w:rsidR="006C1A81">
        <w:t xml:space="preserve"> комиссии</w:t>
      </w:r>
      <w:r w:rsidR="006C1A81">
        <w:rPr>
          <w:lang w:val="en-US"/>
        </w:rPr>
        <w:t>:</w:t>
      </w:r>
      <w:r>
        <w:tab/>
      </w:r>
      <w:r w:rsidR="00E92489">
        <w:t>В.С. Вершинин</w:t>
      </w:r>
    </w:p>
    <w:p w:rsidR="00BB176E" w:rsidRPr="00253A66" w:rsidRDefault="00BB176E">
      <w:pPr>
        <w:ind w:left="4320" w:hanging="4320"/>
        <w:rPr>
          <w:lang w:val="en-US"/>
        </w:rPr>
      </w:pPr>
    </w:p>
    <w:sectPr w:rsidR="00BB176E" w:rsidRPr="00253A66">
      <w:headerReference w:type="default" r:id="rId8"/>
      <w:pgSz w:w="16838" w:h="11906" w:orient="landscape" w:code="9"/>
      <w:pgMar w:top="125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77CC" w:rsidRDefault="00C177CC">
      <w:r>
        <w:separator/>
      </w:r>
    </w:p>
  </w:endnote>
  <w:endnote w:type="continuationSeparator" w:id="0">
    <w:p w:rsidR="00C177CC" w:rsidRDefault="00C177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77CC" w:rsidRDefault="00C177CC">
      <w:r>
        <w:separator/>
      </w:r>
    </w:p>
  </w:footnote>
  <w:footnote w:type="continuationSeparator" w:id="0">
    <w:p w:rsidR="00C177CC" w:rsidRDefault="00C177CC">
      <w:r>
        <w:continuationSeparator/>
      </w:r>
    </w:p>
  </w:footnote>
  <w:footnote w:id="1">
    <w:p w:rsidR="00BB176E" w:rsidRPr="00EF3A92" w:rsidRDefault="00BB176E">
      <w:pPr>
        <w:pStyle w:val="a6"/>
      </w:pPr>
      <w:r w:rsidRPr="00EF3A92">
        <w:rPr>
          <w:rStyle w:val="a7"/>
        </w:rPr>
        <w:t>1</w:t>
      </w:r>
      <w:r w:rsidRPr="00EF3A92">
        <w:t xml:space="preserve">  Обозначения после названия организации:   </w:t>
      </w:r>
      <w:r w:rsidRPr="00EF3A92">
        <w:rPr>
          <w:bCs/>
        </w:rPr>
        <w:t>ПРВ</w:t>
      </w:r>
      <w:r w:rsidRPr="00EF3A92">
        <w:t xml:space="preserve"> - первичная аккредитация</w:t>
      </w:r>
      <w:r w:rsidRPr="00EF3A92">
        <w:rPr>
          <w:bCs/>
        </w:rPr>
        <w:t>;  РСШ</w:t>
      </w:r>
      <w:r w:rsidRPr="00EF3A92">
        <w:t xml:space="preserve"> – расширение области аккредитации;  </w:t>
      </w:r>
      <w:r w:rsidRPr="00EF3A92">
        <w:rPr>
          <w:bCs/>
        </w:rPr>
        <w:t>ПВТ</w:t>
      </w:r>
      <w:r w:rsidRPr="00EF3A92">
        <w:t xml:space="preserve"> – повторная аккредитация</w:t>
      </w:r>
    </w:p>
    <w:p w:rsidR="00BB176E" w:rsidRDefault="00BB176E">
      <w:pPr>
        <w:pStyle w:val="a6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054" w:rsidRDefault="004B6054" w:rsidP="004B6054">
    <w:pPr>
      <w:pStyle w:val="a5"/>
      <w:jc w:val="right"/>
    </w:pPr>
    <w:r>
      <w:t xml:space="preserve">Страница </w:t>
    </w:r>
    <w:r>
      <w:rPr>
        <w:rStyle w:val="af"/>
      </w:rPr>
      <w:fldChar w:fldCharType="begin"/>
    </w:r>
    <w:r>
      <w:rPr>
        <w:rStyle w:val="af"/>
      </w:rPr>
      <w:instrText xml:space="preserve"> PAGE </w:instrText>
    </w:r>
    <w:r>
      <w:rPr>
        <w:rStyle w:val="af"/>
      </w:rPr>
      <w:fldChar w:fldCharType="separate"/>
    </w:r>
    <w:r w:rsidR="00E92489">
      <w:rPr>
        <w:rStyle w:val="af"/>
        <w:noProof/>
      </w:rPr>
      <w:t>2</w:t>
    </w:r>
    <w:r>
      <w:rPr>
        <w:rStyle w:val="af"/>
      </w:rPr>
      <w:fldChar w:fldCharType="end"/>
    </w:r>
    <w:r>
      <w:rPr>
        <w:rStyle w:val="af"/>
      </w:rPr>
      <w:t xml:space="preserve"> из </w:t>
    </w:r>
    <w:r>
      <w:rPr>
        <w:rStyle w:val="af"/>
      </w:rPr>
      <w:fldChar w:fldCharType="begin"/>
    </w:r>
    <w:r>
      <w:rPr>
        <w:rStyle w:val="af"/>
      </w:rPr>
      <w:instrText xml:space="preserve"> NUMPAGES </w:instrText>
    </w:r>
    <w:r>
      <w:rPr>
        <w:rStyle w:val="af"/>
      </w:rPr>
      <w:fldChar w:fldCharType="separate"/>
    </w:r>
    <w:r w:rsidR="00E92489">
      <w:rPr>
        <w:rStyle w:val="af"/>
        <w:noProof/>
      </w:rPr>
      <w:t>2</w:t>
    </w:r>
    <w:r>
      <w:rPr>
        <w:rStyle w:val="af"/>
      </w:rPr>
      <w:fldChar w:fldCharType="end"/>
    </w:r>
  </w:p>
  <w:p w:rsidR="00BB176E" w:rsidRDefault="00BB176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38727F"/>
    <w:multiLevelType w:val="multilevel"/>
    <w:tmpl w:val="6D606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61AF4A08"/>
    <w:multiLevelType w:val="multilevel"/>
    <w:tmpl w:val="9DB266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D75"/>
    <w:rsid w:val="00001A5B"/>
    <w:rsid w:val="0002045E"/>
    <w:rsid w:val="00027706"/>
    <w:rsid w:val="00027EC1"/>
    <w:rsid w:val="00071142"/>
    <w:rsid w:val="00103F9F"/>
    <w:rsid w:val="00220C94"/>
    <w:rsid w:val="002472A0"/>
    <w:rsid w:val="00253A66"/>
    <w:rsid w:val="002616E7"/>
    <w:rsid w:val="002A3CB5"/>
    <w:rsid w:val="002A5388"/>
    <w:rsid w:val="002F2DE7"/>
    <w:rsid w:val="0046325A"/>
    <w:rsid w:val="004B6054"/>
    <w:rsid w:val="004C55F7"/>
    <w:rsid w:val="005075F2"/>
    <w:rsid w:val="0051129C"/>
    <w:rsid w:val="00577FD1"/>
    <w:rsid w:val="005E4FD2"/>
    <w:rsid w:val="006048D6"/>
    <w:rsid w:val="00631714"/>
    <w:rsid w:val="0063689C"/>
    <w:rsid w:val="006622B3"/>
    <w:rsid w:val="00692E9F"/>
    <w:rsid w:val="006C1A81"/>
    <w:rsid w:val="00714453"/>
    <w:rsid w:val="007646D9"/>
    <w:rsid w:val="007720E2"/>
    <w:rsid w:val="007E50D4"/>
    <w:rsid w:val="008137E1"/>
    <w:rsid w:val="00844F18"/>
    <w:rsid w:val="0085165A"/>
    <w:rsid w:val="00860E0E"/>
    <w:rsid w:val="00863AE5"/>
    <w:rsid w:val="008716EB"/>
    <w:rsid w:val="00880DEB"/>
    <w:rsid w:val="008F3943"/>
    <w:rsid w:val="009E3AAD"/>
    <w:rsid w:val="009E5368"/>
    <w:rsid w:val="009E6232"/>
    <w:rsid w:val="00AB65A4"/>
    <w:rsid w:val="00AD50D0"/>
    <w:rsid w:val="00AF44B5"/>
    <w:rsid w:val="00B01B32"/>
    <w:rsid w:val="00B04775"/>
    <w:rsid w:val="00B560A8"/>
    <w:rsid w:val="00B81183"/>
    <w:rsid w:val="00B82694"/>
    <w:rsid w:val="00BB176E"/>
    <w:rsid w:val="00C177CC"/>
    <w:rsid w:val="00C85B26"/>
    <w:rsid w:val="00CC6DBA"/>
    <w:rsid w:val="00D444EC"/>
    <w:rsid w:val="00D93474"/>
    <w:rsid w:val="00DD2594"/>
    <w:rsid w:val="00E30D75"/>
    <w:rsid w:val="00E55F69"/>
    <w:rsid w:val="00E92489"/>
    <w:rsid w:val="00EA734C"/>
    <w:rsid w:val="00EF3673"/>
    <w:rsid w:val="00EF3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Cs w:val="20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pPr>
      <w:jc w:val="center"/>
    </w:pPr>
    <w:rPr>
      <w:b/>
      <w:sz w:val="28"/>
      <w:szCs w:val="20"/>
    </w:rPr>
  </w:style>
  <w:style w:type="paragraph" w:styleId="a4">
    <w:name w:val="Subtitle"/>
    <w:basedOn w:val="a"/>
    <w:qFormat/>
    <w:pPr>
      <w:jc w:val="center"/>
    </w:pPr>
    <w:rPr>
      <w:sz w:val="28"/>
      <w:szCs w:val="20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6">
    <w:name w:val="footnote text"/>
    <w:basedOn w:val="a"/>
    <w:semiHidden/>
    <w:rPr>
      <w:sz w:val="20"/>
      <w:szCs w:val="20"/>
    </w:rPr>
  </w:style>
  <w:style w:type="paragraph" w:styleId="20">
    <w:name w:val="Body Text 2"/>
    <w:basedOn w:val="a"/>
    <w:rPr>
      <w:b/>
      <w:szCs w:val="20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  <w:szCs w:val="20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Strong"/>
    <w:basedOn w:val="a0"/>
    <w:qFormat/>
    <w:rPr>
      <w:b/>
      <w:bCs/>
    </w:rPr>
  </w:style>
  <w:style w:type="paragraph" w:styleId="a9">
    <w:name w:val="caption"/>
    <w:basedOn w:val="a"/>
    <w:next w:val="a"/>
    <w:qFormat/>
    <w:pPr>
      <w:jc w:val="center"/>
    </w:pPr>
    <w:rPr>
      <w:b/>
      <w:bCs/>
      <w:sz w:val="22"/>
      <w:szCs w:val="20"/>
    </w:rPr>
  </w:style>
  <w:style w:type="paragraph" w:styleId="aa">
    <w:name w:val="Body Text Indent"/>
    <w:basedOn w:val="a"/>
    <w:pPr>
      <w:spacing w:line="288" w:lineRule="auto"/>
      <w:ind w:firstLine="360"/>
    </w:pPr>
    <w:rPr>
      <w:sz w:val="20"/>
    </w:rPr>
  </w:style>
  <w:style w:type="paragraph" w:styleId="ab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c">
    <w:name w:val="Emphasis"/>
    <w:basedOn w:val="a0"/>
    <w:qFormat/>
    <w:rPr>
      <w:i/>
      <w:iCs/>
    </w:rPr>
  </w:style>
  <w:style w:type="character" w:styleId="ad">
    <w:name w:val="Hyperlink"/>
    <w:basedOn w:val="a0"/>
    <w:rPr>
      <w:color w:val="0000FF"/>
      <w:u w:val="singl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</w:style>
  <w:style w:type="character" w:styleId="af">
    <w:name w:val="page number"/>
    <w:basedOn w:val="a0"/>
    <w:rsid w:val="004B60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2008-07-04T10:51:00Z</cp:lastPrinted>
  <dcterms:created xsi:type="dcterms:W3CDTF">2024-10-18T09:47:00Z</dcterms:created>
  <dcterms:modified xsi:type="dcterms:W3CDTF">2024-10-18T09:48:00Z</dcterms:modified>
</cp:coreProperties>
</file>