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E7" w:rsidRDefault="002508E7">
      <w:pPr>
        <w:pStyle w:val="a4"/>
      </w:pPr>
      <w:r>
        <w:t>ПРОТОКОЛ</w:t>
      </w:r>
    </w:p>
    <w:p w:rsidR="002508E7" w:rsidRDefault="002508E7">
      <w:pPr>
        <w:jc w:val="center"/>
        <w:rPr>
          <w:sz w:val="24"/>
        </w:rPr>
      </w:pPr>
      <w:r>
        <w:rPr>
          <w:sz w:val="24"/>
        </w:rPr>
        <w:t>заседания Комиссии по аккредитации</w:t>
      </w:r>
    </w:p>
    <w:p w:rsidR="002508E7" w:rsidRDefault="002508E7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Единой системы оценки соответствия в области промышленной, экологической безопасности, </w:t>
      </w:r>
    </w:p>
    <w:p w:rsidR="002508E7" w:rsidRDefault="002508E7">
      <w:pPr>
        <w:jc w:val="center"/>
        <w:rPr>
          <w:rFonts w:eastAsia="Times New Roman"/>
          <w:caps/>
          <w:sz w:val="24"/>
          <w:szCs w:val="24"/>
        </w:rPr>
      </w:pPr>
      <w:r>
        <w:rPr>
          <w:rFonts w:eastAsia="Times New Roman"/>
          <w:sz w:val="24"/>
          <w:szCs w:val="24"/>
        </w:rPr>
        <w:t>безопасности в энергетике и строительстве.</w:t>
      </w:r>
    </w:p>
    <w:p w:rsidR="002508E7" w:rsidRDefault="002508E7">
      <w:pPr>
        <w:jc w:val="center"/>
      </w:pPr>
    </w:p>
    <w:p w:rsidR="002508E7" w:rsidRDefault="00BA7941">
      <w:pPr>
        <w:tabs>
          <w:tab w:val="left" w:pos="10915"/>
          <w:tab w:val="left" w:pos="12049"/>
        </w:tabs>
      </w:pPr>
      <w:r>
        <w:t>10.11.2020</w:t>
      </w:r>
      <w:r w:rsidR="002508E7">
        <w:tab/>
        <w:t>№ СДА-КА-</w:t>
      </w:r>
      <w:r>
        <w:t>226-ИЛ/АЛ-072</w:t>
      </w:r>
    </w:p>
    <w:p w:rsidR="002508E7" w:rsidRDefault="002508E7">
      <w:pPr>
        <w:tabs>
          <w:tab w:val="left" w:pos="12049"/>
        </w:tabs>
      </w:pPr>
    </w:p>
    <w:p w:rsidR="001F6853" w:rsidRDefault="001F6853">
      <w:pPr>
        <w:pStyle w:val="1"/>
        <w:tabs>
          <w:tab w:val="left" w:pos="12049"/>
        </w:tabs>
        <w:spacing w:before="0" w:after="0"/>
        <w:rPr>
          <w:bCs/>
          <w:sz w:val="24"/>
        </w:rPr>
      </w:pPr>
    </w:p>
    <w:p w:rsidR="002508E7" w:rsidRPr="001F6853" w:rsidRDefault="002508E7">
      <w:pPr>
        <w:pStyle w:val="1"/>
        <w:tabs>
          <w:tab w:val="left" w:pos="12049"/>
        </w:tabs>
        <w:spacing w:before="0" w:after="0"/>
        <w:rPr>
          <w:b w:val="0"/>
          <w:bCs/>
          <w:sz w:val="24"/>
        </w:rPr>
      </w:pPr>
      <w:r w:rsidRPr="001F6853">
        <w:rPr>
          <w:b w:val="0"/>
          <w:bCs/>
          <w:sz w:val="24"/>
        </w:rPr>
        <w:t>Повестка дня:</w:t>
      </w:r>
    </w:p>
    <w:p w:rsidR="002508E7" w:rsidRPr="001F6853" w:rsidRDefault="002508E7">
      <w:pPr>
        <w:tabs>
          <w:tab w:val="left" w:pos="12049"/>
        </w:tabs>
        <w:rPr>
          <w:bCs/>
          <w:sz w:val="24"/>
        </w:rPr>
      </w:pPr>
      <w:r w:rsidRPr="001F6853">
        <w:rPr>
          <w:bCs/>
          <w:sz w:val="24"/>
        </w:rPr>
        <w:t xml:space="preserve">Рассмотрение документов на аккредитацию в качестве испытательных лабораторий-  аналитических лабораторий (ИЛ/АЛ) </w:t>
      </w:r>
    </w:p>
    <w:p w:rsidR="002508E7" w:rsidRDefault="002508E7">
      <w:pPr>
        <w:tabs>
          <w:tab w:val="left" w:pos="12049"/>
        </w:tabs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1"/>
        <w:gridCol w:w="2025"/>
        <w:gridCol w:w="2514"/>
        <w:gridCol w:w="2418"/>
        <w:gridCol w:w="3240"/>
      </w:tblGrid>
      <w:tr w:rsidR="002508E7">
        <w:trPr>
          <w:cantSplit/>
          <w:tblHeader/>
        </w:trPr>
        <w:tc>
          <w:tcPr>
            <w:tcW w:w="6156" w:type="dxa"/>
            <w:gridSpan w:val="2"/>
          </w:tcPr>
          <w:p w:rsidR="002508E7" w:rsidRDefault="002508E7">
            <w:pPr>
              <w:tabs>
                <w:tab w:val="left" w:pos="12049"/>
              </w:tabs>
              <w:jc w:val="center"/>
            </w:pPr>
            <w:r>
              <w:t>Организация</w:t>
            </w:r>
          </w:p>
        </w:tc>
        <w:tc>
          <w:tcPr>
            <w:tcW w:w="4932" w:type="dxa"/>
            <w:gridSpan w:val="2"/>
          </w:tcPr>
          <w:p w:rsidR="002508E7" w:rsidRDefault="002508E7">
            <w:pPr>
              <w:tabs>
                <w:tab w:val="left" w:pos="12049"/>
              </w:tabs>
              <w:jc w:val="center"/>
            </w:pPr>
            <w:r>
              <w:t>Организация, проводившая проверку</w:t>
            </w:r>
          </w:p>
        </w:tc>
        <w:tc>
          <w:tcPr>
            <w:tcW w:w="3240" w:type="dxa"/>
            <w:vMerge w:val="restart"/>
          </w:tcPr>
          <w:p w:rsidR="002508E7" w:rsidRDefault="002508E7">
            <w:pPr>
              <w:tabs>
                <w:tab w:val="left" w:pos="12049"/>
              </w:tabs>
              <w:jc w:val="center"/>
            </w:pPr>
            <w:r>
              <w:t>Решение комиссии</w:t>
            </w:r>
          </w:p>
        </w:tc>
      </w:tr>
      <w:tr w:rsidR="002508E7">
        <w:trPr>
          <w:cantSplit/>
          <w:tblHeader/>
        </w:trPr>
        <w:tc>
          <w:tcPr>
            <w:tcW w:w="4131" w:type="dxa"/>
          </w:tcPr>
          <w:p w:rsidR="002508E7" w:rsidRDefault="002508E7">
            <w:pPr>
              <w:tabs>
                <w:tab w:val="left" w:pos="12049"/>
              </w:tabs>
              <w:jc w:val="center"/>
            </w:pPr>
            <w:r>
              <w:t>Наименование</w:t>
            </w:r>
            <w:r>
              <w:rPr>
                <w:rStyle w:val="a9"/>
              </w:rPr>
              <w:footnoteReference w:customMarkFollows="1" w:id="1"/>
              <w:sym w:font="Symbol" w:char="F02A"/>
            </w:r>
          </w:p>
        </w:tc>
        <w:tc>
          <w:tcPr>
            <w:tcW w:w="2025" w:type="dxa"/>
          </w:tcPr>
          <w:p w:rsidR="002508E7" w:rsidRDefault="002508E7">
            <w:pPr>
              <w:tabs>
                <w:tab w:val="left" w:pos="12049"/>
              </w:tabs>
              <w:jc w:val="center"/>
            </w:pPr>
            <w:r>
              <w:t>Адрес</w:t>
            </w:r>
          </w:p>
        </w:tc>
        <w:tc>
          <w:tcPr>
            <w:tcW w:w="2514" w:type="dxa"/>
          </w:tcPr>
          <w:p w:rsidR="002508E7" w:rsidRDefault="002508E7">
            <w:pPr>
              <w:tabs>
                <w:tab w:val="left" w:pos="12049"/>
              </w:tabs>
              <w:jc w:val="center"/>
            </w:pPr>
            <w:r>
              <w:t>Наименование</w:t>
            </w:r>
          </w:p>
        </w:tc>
        <w:tc>
          <w:tcPr>
            <w:tcW w:w="2418" w:type="dxa"/>
          </w:tcPr>
          <w:p w:rsidR="002508E7" w:rsidRDefault="002508E7">
            <w:pPr>
              <w:tabs>
                <w:tab w:val="left" w:pos="12049"/>
              </w:tabs>
              <w:jc w:val="center"/>
            </w:pPr>
            <w:r>
              <w:t>Адрес</w:t>
            </w:r>
          </w:p>
        </w:tc>
        <w:tc>
          <w:tcPr>
            <w:tcW w:w="3240" w:type="dxa"/>
            <w:vMerge/>
            <w:tcBorders>
              <w:bottom w:val="single" w:sz="4" w:space="0" w:color="auto"/>
            </w:tcBorders>
          </w:tcPr>
          <w:p w:rsidR="002508E7" w:rsidRDefault="002508E7">
            <w:pPr>
              <w:tabs>
                <w:tab w:val="left" w:pos="12049"/>
              </w:tabs>
              <w:jc w:val="center"/>
            </w:pPr>
          </w:p>
        </w:tc>
      </w:tr>
      <w:tr w:rsidR="002508E7">
        <w:trPr>
          <w:cantSplit/>
          <w:tblHeader/>
        </w:trPr>
        <w:tc>
          <w:tcPr>
            <w:tcW w:w="4131" w:type="dxa"/>
          </w:tcPr>
          <w:p w:rsidR="006A10D0" w:rsidRPr="0036567E" w:rsidRDefault="00BA7941">
            <w:pPr>
              <w:tabs>
                <w:tab w:val="left" w:pos="12049"/>
              </w:tabs>
            </w:pPr>
            <w:r w:rsidRPr="0036567E">
              <w:t>1</w:t>
            </w:r>
            <w:r w:rsidR="002508E7" w:rsidRPr="0036567E">
              <w:t xml:space="preserve">. </w:t>
            </w:r>
            <w:r w:rsidRPr="0036567E">
              <w:t>Общество с ограниченной ответственностью "Добрятинский комбинат минеральных порошков"</w:t>
            </w:r>
          </w:p>
          <w:p w:rsidR="006A10D0" w:rsidRPr="0036567E" w:rsidRDefault="006A10D0">
            <w:pPr>
              <w:tabs>
                <w:tab w:val="left" w:pos="12049"/>
              </w:tabs>
            </w:pPr>
          </w:p>
          <w:p w:rsidR="002508E7" w:rsidRDefault="00BA7941">
            <w:pPr>
              <w:tabs>
                <w:tab w:val="left" w:pos="12049"/>
              </w:tabs>
              <w:rPr>
                <w:lang w:val="en-US"/>
              </w:rPr>
            </w:pPr>
            <w:r>
              <w:rPr>
                <w:lang w:val="en-US"/>
              </w:rPr>
              <w:t>ООО "ДКМП"</w:t>
            </w:r>
            <w:r w:rsidR="002508E7">
              <w:rPr>
                <w:lang w:val="en-US"/>
              </w:rPr>
              <w:t xml:space="preserve"> </w:t>
            </w:r>
            <w:r w:rsidR="002508E7">
              <w:rPr>
                <w:b/>
                <w:lang w:val="en-US"/>
              </w:rPr>
              <w:t>(</w:t>
            </w:r>
            <w:r>
              <w:rPr>
                <w:b/>
                <w:lang w:val="en-US"/>
              </w:rPr>
              <w:t>РСШ</w:t>
            </w:r>
            <w:r w:rsidR="002508E7">
              <w:rPr>
                <w:b/>
                <w:lang w:val="en-US"/>
              </w:rPr>
              <w:t>)</w:t>
            </w:r>
          </w:p>
        </w:tc>
        <w:tc>
          <w:tcPr>
            <w:tcW w:w="2025" w:type="dxa"/>
          </w:tcPr>
          <w:p w:rsidR="002508E7" w:rsidRDefault="00BA7941">
            <w:pPr>
              <w:tabs>
                <w:tab w:val="left" w:pos="12049"/>
              </w:tabs>
              <w:rPr>
                <w:lang w:val="en-US"/>
              </w:rPr>
            </w:pPr>
            <w:r w:rsidRPr="0036567E">
              <w:t>601580</w:t>
            </w:r>
            <w:r w:rsidR="002508E7" w:rsidRPr="0036567E">
              <w:t xml:space="preserve">, </w:t>
            </w:r>
            <w:r w:rsidRPr="0036567E">
              <w:t xml:space="preserve">Российская Федерация, Владимирская обл., Гусь-Хрустальный р-он, поселок Добрятино, ул. </w:t>
            </w:r>
            <w:r>
              <w:rPr>
                <w:lang w:val="en-US"/>
              </w:rPr>
              <w:t>Новая Стройка, дом 2</w:t>
            </w:r>
          </w:p>
        </w:tc>
        <w:tc>
          <w:tcPr>
            <w:tcW w:w="2514" w:type="dxa"/>
          </w:tcPr>
          <w:p w:rsidR="002508E7" w:rsidRDefault="00BA7941">
            <w:pPr>
              <w:tabs>
                <w:tab w:val="left" w:pos="12049"/>
              </w:tabs>
            </w:pPr>
            <w:r>
              <w:t>ООО Центр "ПремиумКонсалт"</w:t>
            </w:r>
          </w:p>
        </w:tc>
        <w:tc>
          <w:tcPr>
            <w:tcW w:w="2418" w:type="dxa"/>
          </w:tcPr>
          <w:p w:rsidR="002508E7" w:rsidRDefault="00BA7941">
            <w:pPr>
              <w:tabs>
                <w:tab w:val="left" w:pos="12049"/>
              </w:tabs>
              <w:jc w:val="both"/>
              <w:rPr>
                <w:lang w:val="en-US"/>
              </w:rPr>
            </w:pPr>
            <w:r w:rsidRPr="0036567E">
              <w:t>443068</w:t>
            </w:r>
            <w:r w:rsidR="002508E7" w:rsidRPr="0036567E">
              <w:t xml:space="preserve">, </w:t>
            </w:r>
            <w:r w:rsidRPr="0036567E">
              <w:t xml:space="preserve">Российская Федерация, г. Самара, ул. </w:t>
            </w:r>
            <w:r>
              <w:rPr>
                <w:lang w:val="en-US"/>
              </w:rPr>
              <w:t xml:space="preserve">Ново-Садовая, </w:t>
            </w:r>
            <w:r w:rsidR="0036567E">
              <w:br/>
            </w:r>
            <w:bookmarkStart w:id="0" w:name="_GoBack"/>
            <w:bookmarkEnd w:id="0"/>
            <w:r>
              <w:rPr>
                <w:lang w:val="en-US"/>
              </w:rPr>
              <w:t>д. 106, корп. 155</w:t>
            </w:r>
          </w:p>
        </w:tc>
        <w:tc>
          <w:tcPr>
            <w:tcW w:w="3240" w:type="dxa"/>
          </w:tcPr>
          <w:p w:rsidR="002508E7" w:rsidRDefault="00BA7941">
            <w:pPr>
              <w:tabs>
                <w:tab w:val="left" w:pos="12049"/>
              </w:tabs>
              <w:rPr>
                <w:lang w:val="en-US"/>
              </w:rPr>
            </w:pPr>
            <w:r>
              <w:rPr>
                <w:lang w:val="en-US"/>
              </w:rPr>
              <w:t>Аккредитовать</w:t>
            </w:r>
          </w:p>
          <w:p w:rsidR="002508E7" w:rsidRDefault="002508E7">
            <w:pPr>
              <w:tabs>
                <w:tab w:val="left" w:pos="12049"/>
              </w:tabs>
            </w:pPr>
          </w:p>
        </w:tc>
      </w:tr>
    </w:tbl>
    <w:p w:rsidR="001F6853" w:rsidRDefault="001F6853">
      <w:pPr>
        <w:tabs>
          <w:tab w:val="left" w:pos="12049"/>
        </w:tabs>
      </w:pPr>
    </w:p>
    <w:p w:rsidR="002508E7" w:rsidRPr="001F6853" w:rsidRDefault="002508E7">
      <w:pPr>
        <w:tabs>
          <w:tab w:val="left" w:pos="12049"/>
        </w:tabs>
        <w:rPr>
          <w:bCs/>
          <w:sz w:val="24"/>
        </w:rPr>
      </w:pPr>
      <w:r>
        <w:br w:type="page"/>
      </w:r>
      <w:r w:rsidRPr="001F6853">
        <w:rPr>
          <w:bCs/>
          <w:sz w:val="24"/>
        </w:rPr>
        <w:lastRenderedPageBreak/>
        <w:t>Решение комиссии по аккредитации:</w:t>
      </w:r>
    </w:p>
    <w:p w:rsidR="002508E7" w:rsidRPr="004414A6" w:rsidRDefault="002508E7">
      <w:pPr>
        <w:tabs>
          <w:tab w:val="left" w:pos="12049"/>
        </w:tabs>
        <w:rPr>
          <w:sz w:val="24"/>
        </w:rPr>
      </w:pPr>
      <w:r>
        <w:rPr>
          <w:sz w:val="24"/>
        </w:rPr>
        <w:t>Аккредитовать в Единой системе следующие организации:</w:t>
      </w:r>
    </w:p>
    <w:p w:rsidR="002508E7" w:rsidRDefault="002508E7">
      <w:pPr>
        <w:tabs>
          <w:tab w:val="left" w:pos="12049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3"/>
        <w:gridCol w:w="1275"/>
        <w:gridCol w:w="8100"/>
      </w:tblGrid>
      <w:tr w:rsidR="002508E7">
        <w:trPr>
          <w:cantSplit/>
          <w:tblHeader/>
        </w:trPr>
        <w:tc>
          <w:tcPr>
            <w:tcW w:w="4953" w:type="dxa"/>
            <w:tcBorders>
              <w:bottom w:val="single" w:sz="4" w:space="0" w:color="auto"/>
            </w:tcBorders>
          </w:tcPr>
          <w:p w:rsidR="002508E7" w:rsidRDefault="002508E7">
            <w:pPr>
              <w:tabs>
                <w:tab w:val="left" w:pos="12049"/>
              </w:tabs>
              <w:spacing w:before="120" w:after="120"/>
              <w:jc w:val="center"/>
            </w:pPr>
            <w:r>
              <w:t>Наименование и тип организации</w:t>
            </w:r>
          </w:p>
        </w:tc>
        <w:tc>
          <w:tcPr>
            <w:tcW w:w="9375" w:type="dxa"/>
            <w:gridSpan w:val="2"/>
            <w:tcBorders>
              <w:bottom w:val="single" w:sz="4" w:space="0" w:color="auto"/>
            </w:tcBorders>
          </w:tcPr>
          <w:p w:rsidR="002508E7" w:rsidRDefault="002508E7">
            <w:pPr>
              <w:tabs>
                <w:tab w:val="left" w:pos="12049"/>
              </w:tabs>
              <w:spacing w:before="120" w:after="120"/>
              <w:jc w:val="center"/>
            </w:pPr>
            <w:r>
              <w:t>Область аккредитации</w:t>
            </w:r>
          </w:p>
        </w:tc>
      </w:tr>
      <w:tr w:rsidR="002508E7">
        <w:trPr>
          <w:cantSplit/>
          <w:trHeight w:val="20"/>
        </w:trPr>
        <w:tc>
          <w:tcPr>
            <w:tcW w:w="4953" w:type="dxa"/>
            <w:vMerge w:val="restart"/>
          </w:tcPr>
          <w:p w:rsidR="006A10D0" w:rsidRPr="0036567E" w:rsidRDefault="00BA7941">
            <w:pPr>
              <w:tabs>
                <w:tab w:val="left" w:pos="12049"/>
              </w:tabs>
            </w:pPr>
            <w:bookmarkStart w:id="1" w:name="BeginOblTable"/>
            <w:bookmarkEnd w:id="1"/>
            <w:r w:rsidRPr="0036567E">
              <w:t>1</w:t>
            </w:r>
            <w:r w:rsidR="002508E7" w:rsidRPr="0036567E">
              <w:t xml:space="preserve">. </w:t>
            </w:r>
            <w:r w:rsidRPr="0036567E">
              <w:t>Общество с ограниченной ответственностью "Добрятинский комбинат минеральных порошков"</w:t>
            </w:r>
          </w:p>
          <w:p w:rsidR="006A10D0" w:rsidRPr="0036567E" w:rsidRDefault="006A10D0">
            <w:pPr>
              <w:tabs>
                <w:tab w:val="left" w:pos="12049"/>
              </w:tabs>
            </w:pPr>
          </w:p>
          <w:p w:rsidR="002508E7" w:rsidRDefault="00BA7941">
            <w:pPr>
              <w:tabs>
                <w:tab w:val="left" w:pos="12049"/>
              </w:tabs>
              <w:rPr>
                <w:noProof/>
              </w:rPr>
            </w:pPr>
            <w:r>
              <w:t>ООО "ДКМП"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2508E7" w:rsidRDefault="002508E7">
            <w:pPr>
              <w:tabs>
                <w:tab w:val="left" w:pos="12049"/>
              </w:tabs>
              <w:rPr>
                <w:noProof/>
              </w:rPr>
            </w:pPr>
          </w:p>
        </w:tc>
        <w:tc>
          <w:tcPr>
            <w:tcW w:w="8100" w:type="dxa"/>
            <w:tcBorders>
              <w:left w:val="nil"/>
              <w:bottom w:val="nil"/>
            </w:tcBorders>
          </w:tcPr>
          <w:p w:rsidR="002508E7" w:rsidRDefault="002508E7">
            <w:pPr>
              <w:tabs>
                <w:tab w:val="left" w:pos="12049"/>
              </w:tabs>
              <w:rPr>
                <w:noProof/>
              </w:rPr>
            </w:pPr>
          </w:p>
        </w:tc>
      </w:tr>
      <w:tr w:rsidR="002508E7">
        <w:trPr>
          <w:cantSplit/>
          <w:trHeight w:val="20"/>
        </w:trPr>
        <w:tc>
          <w:tcPr>
            <w:tcW w:w="4953" w:type="dxa"/>
            <w:vMerge/>
          </w:tcPr>
          <w:p w:rsidR="002508E7" w:rsidRDefault="002508E7">
            <w:pPr>
              <w:tabs>
                <w:tab w:val="left" w:pos="12049"/>
              </w:tabs>
              <w:rPr>
                <w:noProof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2508E7" w:rsidRDefault="00BA7941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1.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</w:tcBorders>
          </w:tcPr>
          <w:p w:rsidR="002508E7" w:rsidRDefault="00BA7941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Наименование объектов контроля, анализа, измерений</w:t>
            </w:r>
          </w:p>
        </w:tc>
      </w:tr>
      <w:tr w:rsidR="00BA7941">
        <w:trPr>
          <w:cantSplit/>
          <w:trHeight w:val="20"/>
        </w:trPr>
        <w:tc>
          <w:tcPr>
            <w:tcW w:w="4953" w:type="dxa"/>
            <w:vMerge/>
          </w:tcPr>
          <w:p w:rsidR="00BA7941" w:rsidRDefault="00BA7941">
            <w:pPr>
              <w:tabs>
                <w:tab w:val="left" w:pos="12049"/>
              </w:tabs>
              <w:rPr>
                <w:noProof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BA7941" w:rsidRDefault="00BA7941" w:rsidP="00E0738D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1.3.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</w:tcBorders>
          </w:tcPr>
          <w:p w:rsidR="00BA7941" w:rsidRDefault="00BA7941" w:rsidP="00E0738D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Почвы и грунты (почвы, грунты, донные отложения, горные и рудные породы)</w:t>
            </w:r>
          </w:p>
        </w:tc>
      </w:tr>
      <w:tr w:rsidR="00BA7941">
        <w:trPr>
          <w:cantSplit/>
          <w:trHeight w:val="20"/>
        </w:trPr>
        <w:tc>
          <w:tcPr>
            <w:tcW w:w="4953" w:type="dxa"/>
            <w:vMerge/>
          </w:tcPr>
          <w:p w:rsidR="00BA7941" w:rsidRDefault="00BA7941">
            <w:pPr>
              <w:tabs>
                <w:tab w:val="left" w:pos="12049"/>
              </w:tabs>
              <w:rPr>
                <w:noProof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BA7941" w:rsidRDefault="00BA7941" w:rsidP="00E0738D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</w:tcBorders>
          </w:tcPr>
          <w:p w:rsidR="00BA7941" w:rsidRDefault="00BA7941" w:rsidP="00E0738D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Наименование методов контроля, анализа, измерений</w:t>
            </w:r>
          </w:p>
        </w:tc>
      </w:tr>
      <w:tr w:rsidR="00BA7941">
        <w:trPr>
          <w:cantSplit/>
          <w:trHeight w:val="20"/>
        </w:trPr>
        <w:tc>
          <w:tcPr>
            <w:tcW w:w="4953" w:type="dxa"/>
            <w:vMerge/>
          </w:tcPr>
          <w:p w:rsidR="00BA7941" w:rsidRDefault="00BA7941">
            <w:pPr>
              <w:tabs>
                <w:tab w:val="left" w:pos="12049"/>
              </w:tabs>
              <w:rPr>
                <w:noProof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BA7941" w:rsidRDefault="00BA7941" w:rsidP="00E0738D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2.2.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</w:tcBorders>
          </w:tcPr>
          <w:p w:rsidR="00BA7941" w:rsidRDefault="00BA7941" w:rsidP="00E0738D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Химические методы анализа</w:t>
            </w:r>
          </w:p>
        </w:tc>
      </w:tr>
      <w:tr w:rsidR="00BA7941">
        <w:trPr>
          <w:cantSplit/>
          <w:trHeight w:val="20"/>
        </w:trPr>
        <w:tc>
          <w:tcPr>
            <w:tcW w:w="4953" w:type="dxa"/>
            <w:vMerge/>
          </w:tcPr>
          <w:p w:rsidR="00BA7941" w:rsidRDefault="00BA7941">
            <w:pPr>
              <w:tabs>
                <w:tab w:val="left" w:pos="12049"/>
              </w:tabs>
              <w:rPr>
                <w:noProof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BA7941" w:rsidRDefault="00BA7941" w:rsidP="00E0738D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2.2.1.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</w:tcBorders>
          </w:tcPr>
          <w:p w:rsidR="00BA7941" w:rsidRDefault="00BA7941" w:rsidP="00E0738D">
            <w:pPr>
              <w:tabs>
                <w:tab w:val="left" w:pos="12049"/>
              </w:tabs>
              <w:rPr>
                <w:noProof/>
              </w:rPr>
            </w:pPr>
            <w:r>
              <w:rPr>
                <w:noProof/>
              </w:rPr>
              <w:t>Гравиметрические</w:t>
            </w:r>
          </w:p>
        </w:tc>
      </w:tr>
      <w:tr w:rsidR="002508E7">
        <w:trPr>
          <w:cantSplit/>
          <w:trHeight w:val="20"/>
        </w:trPr>
        <w:tc>
          <w:tcPr>
            <w:tcW w:w="4953" w:type="dxa"/>
            <w:vMerge/>
          </w:tcPr>
          <w:p w:rsidR="002508E7" w:rsidRDefault="002508E7">
            <w:pPr>
              <w:tabs>
                <w:tab w:val="left" w:pos="12049"/>
              </w:tabs>
              <w:rPr>
                <w:noProof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2508E7" w:rsidRDefault="002508E7">
            <w:pPr>
              <w:tabs>
                <w:tab w:val="left" w:pos="12049"/>
              </w:tabs>
              <w:rPr>
                <w:noProof/>
              </w:rPr>
            </w:pPr>
          </w:p>
        </w:tc>
        <w:tc>
          <w:tcPr>
            <w:tcW w:w="8100" w:type="dxa"/>
            <w:tcBorders>
              <w:top w:val="nil"/>
              <w:left w:val="nil"/>
            </w:tcBorders>
          </w:tcPr>
          <w:p w:rsidR="002508E7" w:rsidRDefault="002508E7">
            <w:pPr>
              <w:tabs>
                <w:tab w:val="left" w:pos="12049"/>
              </w:tabs>
              <w:rPr>
                <w:noProof/>
              </w:rPr>
            </w:pPr>
          </w:p>
        </w:tc>
      </w:tr>
    </w:tbl>
    <w:p w:rsidR="002508E7" w:rsidRDefault="002508E7">
      <w:pPr>
        <w:tabs>
          <w:tab w:val="left" w:pos="12049"/>
        </w:tabs>
        <w:rPr>
          <w:sz w:val="16"/>
          <w:szCs w:val="16"/>
        </w:rPr>
      </w:pPr>
    </w:p>
    <w:p w:rsidR="002508E7" w:rsidRDefault="002508E7">
      <w:pPr>
        <w:tabs>
          <w:tab w:val="left" w:pos="12049"/>
        </w:tabs>
        <w:rPr>
          <w:sz w:val="16"/>
          <w:szCs w:val="16"/>
        </w:rPr>
      </w:pPr>
    </w:p>
    <w:p w:rsidR="002508E7" w:rsidRDefault="002508E7">
      <w:pPr>
        <w:tabs>
          <w:tab w:val="left" w:pos="12049"/>
        </w:tabs>
      </w:pPr>
      <w:bookmarkStart w:id="2" w:name="ProtBottom"/>
      <w:bookmarkEnd w:id="2"/>
    </w:p>
    <w:p w:rsidR="002508E7" w:rsidRPr="004414A6" w:rsidRDefault="002508E7">
      <w:pPr>
        <w:tabs>
          <w:tab w:val="left" w:pos="12049"/>
        </w:tabs>
        <w:rPr>
          <w:lang w:val="en-US"/>
        </w:rPr>
      </w:pPr>
    </w:p>
    <w:p w:rsidR="00413E52" w:rsidRPr="007A4EFD" w:rsidRDefault="00413E52" w:rsidP="00413E52">
      <w:pPr>
        <w:ind w:left="4320"/>
        <w:rPr>
          <w:sz w:val="24"/>
          <w:szCs w:val="24"/>
        </w:rPr>
      </w:pPr>
      <w:r w:rsidRPr="007A4EFD">
        <w:rPr>
          <w:sz w:val="24"/>
          <w:szCs w:val="24"/>
        </w:rPr>
        <w:t>Председатель комиссии:</w:t>
      </w:r>
      <w:r w:rsidRPr="007A4EFD">
        <w:rPr>
          <w:sz w:val="24"/>
          <w:szCs w:val="24"/>
        </w:rPr>
        <w:tab/>
      </w:r>
      <w:r w:rsidR="00BA7941">
        <w:rPr>
          <w:sz w:val="24"/>
          <w:szCs w:val="24"/>
        </w:rPr>
        <w:t>Н.Н. Коновалов</w:t>
      </w:r>
    </w:p>
    <w:p w:rsidR="00413E52" w:rsidRPr="007A4EFD" w:rsidRDefault="00413E52" w:rsidP="00413E52">
      <w:pPr>
        <w:rPr>
          <w:sz w:val="24"/>
          <w:szCs w:val="24"/>
        </w:rPr>
      </w:pPr>
    </w:p>
    <w:p w:rsidR="00413E52" w:rsidRPr="007A4EFD" w:rsidRDefault="00413E52" w:rsidP="00413E52">
      <w:pPr>
        <w:ind w:left="4320"/>
        <w:rPr>
          <w:sz w:val="24"/>
          <w:szCs w:val="24"/>
        </w:rPr>
      </w:pPr>
      <w:r w:rsidRPr="007A4EFD">
        <w:rPr>
          <w:sz w:val="24"/>
          <w:szCs w:val="24"/>
        </w:rPr>
        <w:t>Секретарь комиссии</w:t>
      </w:r>
      <w:r w:rsidRPr="007A4EFD">
        <w:rPr>
          <w:sz w:val="24"/>
          <w:szCs w:val="24"/>
          <w:lang w:val="en-US"/>
        </w:rPr>
        <w:t>:</w:t>
      </w:r>
      <w:r w:rsidRPr="007A4EFD">
        <w:rPr>
          <w:sz w:val="24"/>
          <w:szCs w:val="24"/>
        </w:rPr>
        <w:tab/>
      </w:r>
      <w:r w:rsidR="00BA7941">
        <w:rPr>
          <w:sz w:val="24"/>
          <w:szCs w:val="24"/>
        </w:rPr>
        <w:t>В.С. Вершинин</w:t>
      </w:r>
    </w:p>
    <w:p w:rsidR="002508E7" w:rsidRPr="004414A6" w:rsidRDefault="002508E7">
      <w:pPr>
        <w:rPr>
          <w:lang w:val="en-US"/>
        </w:rPr>
      </w:pPr>
    </w:p>
    <w:sectPr w:rsidR="002508E7" w:rsidRPr="004414A6">
      <w:headerReference w:type="default" r:id="rId8"/>
      <w:headerReference w:type="first" r:id="rId9"/>
      <w:pgSz w:w="16840" w:h="11907" w:orient="landscape" w:code="9"/>
      <w:pgMar w:top="1418" w:right="1134" w:bottom="1418" w:left="851" w:header="624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941" w:rsidRDefault="00BA7941">
      <w:r>
        <w:separator/>
      </w:r>
    </w:p>
  </w:endnote>
  <w:endnote w:type="continuationSeparator" w:id="0">
    <w:p w:rsidR="00BA7941" w:rsidRDefault="00BA7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941" w:rsidRDefault="00BA7941">
      <w:r>
        <w:separator/>
      </w:r>
    </w:p>
  </w:footnote>
  <w:footnote w:type="continuationSeparator" w:id="0">
    <w:p w:rsidR="00BA7941" w:rsidRDefault="00BA7941">
      <w:r>
        <w:continuationSeparator/>
      </w:r>
    </w:p>
  </w:footnote>
  <w:footnote w:id="1">
    <w:p w:rsidR="002508E7" w:rsidRDefault="002508E7">
      <w:pPr>
        <w:pStyle w:val="a8"/>
      </w:pPr>
      <w:r>
        <w:rPr>
          <w:rStyle w:val="a9"/>
        </w:rPr>
        <w:t>*</w:t>
      </w:r>
      <w:r>
        <w:t xml:space="preserve"> Обозначения после названия организации:   ПРВ - первичная аккредитация;  РСШ – расширение области аккредитации;  ПВТ – повторная аккредитация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8E7" w:rsidRDefault="002508E7">
    <w:pPr>
      <w:pStyle w:val="a6"/>
      <w:jc w:val="right"/>
    </w:pPr>
    <w:r>
      <w:t xml:space="preserve">Страница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36567E">
      <w:rPr>
        <w:rStyle w:val="a7"/>
        <w:noProof/>
      </w:rPr>
      <w:t>2</w:t>
    </w:r>
    <w:r>
      <w:rPr>
        <w:rStyle w:val="a7"/>
      </w:rPr>
      <w:fldChar w:fldCharType="end"/>
    </w:r>
    <w:r>
      <w:rPr>
        <w:rStyle w:val="a7"/>
      </w:rPr>
      <w:t xml:space="preserve"> из </w:t>
    </w:r>
    <w:r>
      <w:rPr>
        <w:rStyle w:val="a7"/>
      </w:rPr>
      <w:fldChar w:fldCharType="begin"/>
    </w:r>
    <w:r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36567E">
      <w:rPr>
        <w:rStyle w:val="a7"/>
        <w:noProof/>
      </w:rPr>
      <w:t>2</w:t>
    </w:r>
    <w:r>
      <w:rPr>
        <w:rStyle w:val="a7"/>
      </w:rPr>
      <w:fldChar w:fldCharType="end"/>
    </w:r>
  </w:p>
  <w:p w:rsidR="002508E7" w:rsidRDefault="002508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8E7" w:rsidRDefault="002508E7">
    <w:pPr>
      <w:pStyle w:val="a6"/>
      <w:jc w:val="right"/>
    </w:pPr>
    <w:r>
      <w:t xml:space="preserve">Страница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36567E">
      <w:rPr>
        <w:rStyle w:val="a7"/>
        <w:noProof/>
      </w:rPr>
      <w:t>1</w:t>
    </w:r>
    <w:r>
      <w:rPr>
        <w:rStyle w:val="a7"/>
      </w:rPr>
      <w:fldChar w:fldCharType="end"/>
    </w:r>
    <w:r>
      <w:rPr>
        <w:rStyle w:val="a7"/>
      </w:rPr>
      <w:t xml:space="preserve"> из </w:t>
    </w:r>
    <w:r>
      <w:rPr>
        <w:rStyle w:val="a7"/>
      </w:rPr>
      <w:fldChar w:fldCharType="begin"/>
    </w:r>
    <w:r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36567E">
      <w:rPr>
        <w:rStyle w:val="a7"/>
        <w:noProof/>
      </w:rPr>
      <w:t>2</w:t>
    </w:r>
    <w:r>
      <w:rPr>
        <w:rStyle w:val="a7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23C47"/>
    <w:multiLevelType w:val="multilevel"/>
    <w:tmpl w:val="47A28E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D0"/>
    <w:rsid w:val="001F6853"/>
    <w:rsid w:val="002508E7"/>
    <w:rsid w:val="00334971"/>
    <w:rsid w:val="0036567E"/>
    <w:rsid w:val="00413E52"/>
    <w:rsid w:val="004414A6"/>
    <w:rsid w:val="006A10D0"/>
    <w:rsid w:val="007C6EBF"/>
    <w:rsid w:val="008552FA"/>
    <w:rsid w:val="00905871"/>
    <w:rsid w:val="00B92C3E"/>
    <w:rsid w:val="00BA7941"/>
    <w:rsid w:val="00E4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rFonts w:eastAsia="Tahom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умерованный параграф"/>
    <w:basedOn w:val="a0"/>
    <w:pPr>
      <w:widowControl w:val="0"/>
      <w:numPr>
        <w:numId w:val="1"/>
      </w:numPr>
      <w:tabs>
        <w:tab w:val="left" w:pos="5245"/>
      </w:tabs>
      <w:spacing w:after="120"/>
      <w:jc w:val="center"/>
    </w:pPr>
    <w:rPr>
      <w:sz w:val="28"/>
    </w:rPr>
  </w:style>
  <w:style w:type="paragraph" w:customStyle="1" w:styleId="a4">
    <w:name w:val="Уважаемый"/>
    <w:basedOn w:val="a0"/>
    <w:next w:val="a5"/>
    <w:autoRedefine/>
    <w:pPr>
      <w:jc w:val="center"/>
    </w:pPr>
    <w:rPr>
      <w:b/>
      <w:bCs/>
      <w:sz w:val="24"/>
    </w:rPr>
  </w:style>
  <w:style w:type="paragraph" w:customStyle="1" w:styleId="1">
    <w:name w:val="ПЗАГ1"/>
    <w:basedOn w:val="a0"/>
    <w:pPr>
      <w:spacing w:before="240" w:after="240"/>
    </w:pPr>
    <w:rPr>
      <w:b/>
    </w:rPr>
  </w:style>
  <w:style w:type="paragraph" w:styleId="a6">
    <w:name w:val="header"/>
    <w:basedOn w:val="a0"/>
    <w:pPr>
      <w:tabs>
        <w:tab w:val="center" w:pos="4677"/>
        <w:tab w:val="right" w:pos="9355"/>
      </w:tabs>
    </w:pPr>
  </w:style>
  <w:style w:type="character" w:styleId="a7">
    <w:name w:val="page number"/>
    <w:basedOn w:val="a1"/>
  </w:style>
  <w:style w:type="paragraph" w:styleId="a8">
    <w:name w:val="footnote text"/>
    <w:basedOn w:val="a0"/>
    <w:semiHidden/>
    <w:rPr>
      <w:sz w:val="20"/>
    </w:rPr>
  </w:style>
  <w:style w:type="character" w:styleId="a9">
    <w:name w:val="footnote reference"/>
    <w:basedOn w:val="a1"/>
    <w:semiHidden/>
    <w:rPr>
      <w:vertAlign w:val="superscript"/>
    </w:rPr>
  </w:style>
  <w:style w:type="paragraph" w:styleId="a5">
    <w:name w:val="Body Text"/>
    <w:basedOn w:val="a0"/>
    <w:pPr>
      <w:spacing w:after="120"/>
    </w:pPr>
  </w:style>
  <w:style w:type="paragraph" w:styleId="aa">
    <w:name w:val="footer"/>
    <w:basedOn w:val="a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rFonts w:eastAsia="Tahom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умерованный параграф"/>
    <w:basedOn w:val="a0"/>
    <w:pPr>
      <w:widowControl w:val="0"/>
      <w:numPr>
        <w:numId w:val="1"/>
      </w:numPr>
      <w:tabs>
        <w:tab w:val="left" w:pos="5245"/>
      </w:tabs>
      <w:spacing w:after="120"/>
      <w:jc w:val="center"/>
    </w:pPr>
    <w:rPr>
      <w:sz w:val="28"/>
    </w:rPr>
  </w:style>
  <w:style w:type="paragraph" w:customStyle="1" w:styleId="a4">
    <w:name w:val="Уважаемый"/>
    <w:basedOn w:val="a0"/>
    <w:next w:val="a5"/>
    <w:autoRedefine/>
    <w:pPr>
      <w:jc w:val="center"/>
    </w:pPr>
    <w:rPr>
      <w:b/>
      <w:bCs/>
      <w:sz w:val="24"/>
    </w:rPr>
  </w:style>
  <w:style w:type="paragraph" w:customStyle="1" w:styleId="1">
    <w:name w:val="ПЗАГ1"/>
    <w:basedOn w:val="a0"/>
    <w:pPr>
      <w:spacing w:before="240" w:after="240"/>
    </w:pPr>
    <w:rPr>
      <w:b/>
    </w:rPr>
  </w:style>
  <w:style w:type="paragraph" w:styleId="a6">
    <w:name w:val="header"/>
    <w:basedOn w:val="a0"/>
    <w:pPr>
      <w:tabs>
        <w:tab w:val="center" w:pos="4677"/>
        <w:tab w:val="right" w:pos="9355"/>
      </w:tabs>
    </w:pPr>
  </w:style>
  <w:style w:type="character" w:styleId="a7">
    <w:name w:val="page number"/>
    <w:basedOn w:val="a1"/>
  </w:style>
  <w:style w:type="paragraph" w:styleId="a8">
    <w:name w:val="footnote text"/>
    <w:basedOn w:val="a0"/>
    <w:semiHidden/>
    <w:rPr>
      <w:sz w:val="20"/>
    </w:rPr>
  </w:style>
  <w:style w:type="character" w:styleId="a9">
    <w:name w:val="footnote reference"/>
    <w:basedOn w:val="a1"/>
    <w:semiHidden/>
    <w:rPr>
      <w:vertAlign w:val="superscript"/>
    </w:rPr>
  </w:style>
  <w:style w:type="paragraph" w:styleId="a5">
    <w:name w:val="Body Text"/>
    <w:basedOn w:val="a0"/>
    <w:pPr>
      <w:spacing w:after="120"/>
    </w:pPr>
  </w:style>
  <w:style w:type="paragraph" w:styleId="aa">
    <w:name w:val="footer"/>
    <w:basedOn w:val="a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Surkova</dc:creator>
  <cp:lastModifiedBy>Surkova</cp:lastModifiedBy>
  <cp:revision>2</cp:revision>
  <cp:lastPrinted>1900-12-31T21:00:00Z</cp:lastPrinted>
  <dcterms:created xsi:type="dcterms:W3CDTF">2020-11-10T08:47:00Z</dcterms:created>
  <dcterms:modified xsi:type="dcterms:W3CDTF">2020-11-10T09:29:00Z</dcterms:modified>
</cp:coreProperties>
</file>